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3F68FD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3F68F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22 апреля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8FD">
              <w:rPr>
                <w:rFonts w:ascii="Times New Roman" w:hAnsi="Times New Roman"/>
                <w:sz w:val="24"/>
                <w:szCs w:val="24"/>
              </w:rPr>
              <w:t>115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5530B" w:rsidRPr="002A0B1C" w:rsidTr="00DC50A9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30B" w:rsidRDefault="0005530B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:rsidR="0005530B" w:rsidRPr="005527CE" w:rsidRDefault="0032093D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="0005530B" w:rsidRPr="005527CE">
              <w:rPr>
                <w:rFonts w:ascii="Times New Roman" w:hAnsi="Times New Roman"/>
                <w:b/>
              </w:rPr>
              <w:t xml:space="preserve">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30B" w:rsidRDefault="0005530B" w:rsidP="00B672B7">
            <w:pPr>
              <w:jc w:val="center"/>
              <w:rPr>
                <w:rFonts w:ascii="Times New Roman" w:hAnsi="Times New Roman"/>
              </w:rPr>
            </w:pPr>
          </w:p>
          <w:p w:rsidR="0005530B" w:rsidRPr="001E6579" w:rsidRDefault="0005530B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30B" w:rsidRPr="005527CE" w:rsidRDefault="00852609" w:rsidP="002F670B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Отдел </w:t>
            </w:r>
            <w:r w:rsidR="00E73977">
              <w:rPr>
                <w:rFonts w:ascii="Times New Roman" w:hAnsi="Times New Roman"/>
                <w:shd w:val="clear" w:color="auto" w:fill="FFFFFF"/>
              </w:rPr>
              <w:t xml:space="preserve">организации и проведения переписей и обследований </w:t>
            </w:r>
            <w:r w:rsidR="0032093D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proofErr w:type="gramStart"/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  <w:proofErr w:type="gramEnd"/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            </w:r>
                  <w:proofErr w:type="gram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, на </w:t>
                  </w:r>
                  <w:proofErr w:type="gramStart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замещение</w:t>
                  </w:r>
                  <w:proofErr w:type="gram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Прием документов будет проводиться в </w:t>
                        </w:r>
                        <w:r w:rsidR="0032093D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течение 21 дня</w:t>
                        </w:r>
                      </w:p>
                      <w:p w:rsidR="00777488" w:rsidRDefault="00777488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с </w:t>
                        </w:r>
                        <w:r w:rsidR="003F68FD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27 апреля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3F68FD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17 мая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2022 г. (включительно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)</w:t>
                        </w:r>
                      </w:p>
                      <w:p w:rsidR="0032093D" w:rsidRPr="00970E64" w:rsidRDefault="0032093D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32093D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93D" w:rsidRPr="0006405F" w:rsidRDefault="0032093D" w:rsidP="007E0345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u w:val="single"/>
                            <w:lang w:eastAsia="ru-RU"/>
                          </w:rPr>
                          <w:t>Документы можно подать:</w:t>
                        </w:r>
                      </w:p>
                    </w:tc>
                  </w:tr>
                  <w:tr w:rsidR="0032093D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93D" w:rsidRPr="0006405F" w:rsidRDefault="0032093D" w:rsidP="007E0345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1.     В электронном виде на официальном портале </w:t>
                        </w:r>
                        <w:hyperlink r:id="rId10" w:tgtFrame="_blank" w:history="1">
                          <w:r w:rsidRPr="0006405F">
                            <w:rPr>
                              <w:rFonts w:ascii="Times New Roman" w:eastAsia="Times New Roman" w:hAnsi="Times New Roman"/>
                              <w:color w:val="0070C0"/>
                              <w:sz w:val="26"/>
                              <w:szCs w:val="26"/>
                              <w:u w:val="single"/>
                              <w:lang w:eastAsia="ru-RU"/>
                            </w:rPr>
                            <w:t>gossluzhba.gov.ru</w:t>
                          </w:r>
                        </w:hyperlink>
                        <w:r w:rsidRPr="0006405F">
                          <w:rPr>
                            <w:rFonts w:ascii="Times New Roman" w:eastAsia="Times New Roman" w:hAnsi="Times New Roman"/>
                            <w:color w:val="0070C0"/>
                            <w:sz w:val="26"/>
                            <w:szCs w:val="26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32093D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93D" w:rsidRPr="0006405F" w:rsidRDefault="0032093D" w:rsidP="007E0345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2.     Направить заказным письмом с комплектом документов по адресу: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ул. Орджоникидзе, д. 29,  г. Краснодар, 350000;</w:t>
                        </w:r>
                      </w:p>
                    </w:tc>
                  </w:tr>
                  <w:tr w:rsidR="0032093D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93D" w:rsidRPr="0006405F" w:rsidRDefault="0032093D" w:rsidP="007E0345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3.     Предоставить лично: с понедельника по четверг с 9:00 до 17:00,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в пятницу с 9:00 до 16:00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(перерыв на обед с 13-00 до 13-45)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по </w:t>
                        </w:r>
                        <w:proofErr w:type="spellStart"/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адресу</w:t>
                        </w:r>
                        <w:proofErr w:type="gramStart"/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:у</w:t>
                        </w:r>
                        <w:proofErr w:type="gramEnd"/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л</w:t>
                        </w:r>
                        <w:proofErr w:type="spellEnd"/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. Орджоникидзе, д. 29,  г. Краснодар, 350000. </w:t>
                        </w:r>
                      </w:p>
                    </w:tc>
                  </w:tr>
                  <w:tr w:rsidR="0032093D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73977" w:rsidRDefault="0032093D" w:rsidP="00E739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Контактное лицо: </w:t>
                        </w:r>
                        <w:r w:rsidR="00E73977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r w:rsidRPr="00E73977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Перова Дарья Дмитриевна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  <w:r w:rsidR="00263C9B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06405F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тел., 8(861) 253-73-01</w:t>
                        </w:r>
                        <w:r w:rsidR="00263C9B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;</w:t>
                        </w:r>
                        <w:bookmarkStart w:id="4" w:name="_GoBack"/>
                        <w:bookmarkEnd w:id="4"/>
                        <w:r w:rsidRPr="0006405F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 8 909 463 57 77</w:t>
                        </w:r>
                        <w:r w:rsidR="00E7397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br/>
                          <w:t>Фастовщук Вера Петровна</w:t>
                        </w:r>
                        <w:r w:rsidR="00263C9B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E73977" w:rsidRPr="0006405F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8(861) 2</w:t>
                        </w:r>
                        <w:r w:rsidR="00E7397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62-3</w:t>
                        </w:r>
                        <w:r w:rsidR="00E73977" w:rsidRPr="0006405F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3-</w:t>
                        </w:r>
                        <w:r w:rsidR="00E7397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10</w:t>
                        </w:r>
                      </w:p>
                      <w:p w:rsidR="00263C9B" w:rsidRDefault="00263C9B" w:rsidP="00E739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263C9B" w:rsidRDefault="00263C9B" w:rsidP="00263C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проведения второго этапа конкурса 21 сентября 2022 г.,</w:t>
                        </w:r>
                      </w:p>
                      <w:p w:rsidR="00263C9B" w:rsidRDefault="00263C9B" w:rsidP="00263C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Место проведения второго этапа конкурса: г. Краснодар,</w:t>
                        </w:r>
                      </w:p>
                      <w:p w:rsidR="00263C9B" w:rsidRPr="0006405F" w:rsidRDefault="00263C9B" w:rsidP="00263C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Орджоникидзе ул., д. 29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1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Default="002F670B" w:rsidP="007D12B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5" w:name="sub_1022"/>
            <w:bookmarkStart w:id="6" w:name="приложение"/>
          </w:p>
          <w:p w:rsidR="002F670B" w:rsidRDefault="002F670B" w:rsidP="007D12B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F670B" w:rsidRDefault="002F670B" w:rsidP="007D12B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F670B" w:rsidRDefault="002F670B" w:rsidP="007D12B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F670B" w:rsidRDefault="002F670B" w:rsidP="007D12B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F670B" w:rsidRPr="0036531C" w:rsidRDefault="00443535" w:rsidP="007D12B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приложение11" w:history="1">
              <w:r w:rsidR="002F670B"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Приложение № 1</w:t>
              </w:r>
            </w:hyperlink>
          </w:p>
          <w:bookmarkEnd w:id="5"/>
          <w:bookmarkEnd w:id="6"/>
          <w:p w:rsidR="002F670B" w:rsidRPr="0036531C" w:rsidRDefault="002F670B" w:rsidP="007D12B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объявлению о приеме документов </w:t>
            </w:r>
          </w:p>
          <w:p w:rsidR="002F670B" w:rsidRPr="0036531C" w:rsidRDefault="002F670B" w:rsidP="007D12B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участия в конкурсе на замещение вакантных должностей Управления Федеральной службы государственной статистики по Краснодарскому краю и Республике Адыгея</w:t>
            </w:r>
          </w:p>
          <w:p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Квалификационные требования, </w:t>
            </w: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необходимые для замещения должностей </w:t>
            </w:r>
            <w:proofErr w:type="gramEnd"/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Управлении Федеральной службы государственной статистики</w:t>
            </w:r>
          </w:p>
          <w:p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Краснодарскому краю и Республике Адыгея</w:t>
            </w: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365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Указом Президента Российской Федерации от 16 января 2017 г. № 16 «</w:t>
            </w: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365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претенденты на замещение вакантных должностей Управления Федеральной</w:t>
            </w:r>
            <w:proofErr w:type="gramEnd"/>
            <w:r w:rsidRPr="00365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службы государственной статистики по Краснодарскому краю и Республике Адыгея должны соответствовать следующим  требованиям к уровню образования и </w:t>
            </w: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365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 Базовые квалификационные требования</w:t>
            </w: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«обеспечивающие специалисты» старшей группы должностей</w:t>
            </w: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замещения должности федеральной государственной гражданской службы категории «обеспечивающие специалисты» старшей группы должностей необходимо </w:t>
            </w:r>
            <w:r w:rsidRPr="0036531C">
              <w:rPr>
                <w:rFonts w:ascii="Times New Roman" w:hAnsi="Times New Roman"/>
                <w:sz w:val="24"/>
                <w:szCs w:val="24"/>
              </w:rPr>
              <w:t>иметь средне специальное образование по направлению подготовки (специальности) «Государственное и муниципальное управление», «Менеджмент», «Управление персоналом», «Экономика», «Прикладная математика и информатика», «Финансы и кредит» или иное</w:t>
            </w:r>
            <w:r w:rsidRPr="0036531C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</w:t>
            </w:r>
            <w:proofErr w:type="gramEnd"/>
            <w:r w:rsidRPr="0036531C">
              <w:rPr>
                <w:rFonts w:ascii="Times New Roman" w:hAnsi="Times New Roman"/>
                <w:bCs/>
                <w:sz w:val="24"/>
                <w:szCs w:val="24"/>
              </w:rPr>
              <w:t>, специальностей и направлений подготовки.</w:t>
            </w: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Требования к базовым знаниям и умениям </w:t>
            </w: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старшего специалиста 1 разряда отдела должен обладать следующими базовыми знаниями и умениями:</w:t>
            </w:r>
          </w:p>
          <w:p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  <w:p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 xml:space="preserve">г) Федерального закона от 25 декабря 2008г. № 273-ФЗ «О противодействии </w:t>
            </w:r>
            <w:r w:rsidRPr="0036531C">
              <w:rPr>
                <w:rFonts w:ascii="Times New Roman" w:hAnsi="Times New Roman"/>
                <w:sz w:val="24"/>
                <w:szCs w:val="24"/>
              </w:rPr>
              <w:lastRenderedPageBreak/>
              <w:t>коррупции»;</w:t>
            </w:r>
          </w:p>
          <w:p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 xml:space="preserve">3) знаниями и умениями в области информационно-коммуникационных технологий. </w:t>
            </w:r>
          </w:p>
          <w:p w:rsidR="002F670B" w:rsidRPr="0036531C" w:rsidRDefault="002F670B" w:rsidP="007D12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>2.1.4. Умения гражданского служащего, замещающего должность старшего специалиста 1 разряда отдела, включают следующие умения:</w:t>
            </w:r>
          </w:p>
          <w:p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>1) Общие умения:</w:t>
            </w:r>
          </w:p>
          <w:p w:rsidR="002F670B" w:rsidRPr="0036531C" w:rsidRDefault="002F670B" w:rsidP="007D12B9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2F670B" w:rsidRPr="0036531C" w:rsidRDefault="002F670B" w:rsidP="007D12B9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>- коммуникативные умения;</w:t>
            </w:r>
          </w:p>
          <w:p w:rsidR="002F670B" w:rsidRPr="0036531C" w:rsidRDefault="002F670B" w:rsidP="007D12B9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>- умение управлять изменениями.</w:t>
            </w:r>
          </w:p>
          <w:p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>2) Управленческие умения:</w:t>
            </w:r>
          </w:p>
          <w:p w:rsidR="002F670B" w:rsidRPr="0036531C" w:rsidRDefault="002F670B" w:rsidP="007D12B9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>- умение эффективно планировать, организовывать работу и контролировать ее выполнение.</w:t>
            </w:r>
          </w:p>
          <w:p w:rsidR="002F670B" w:rsidRPr="0036531C" w:rsidRDefault="002F670B" w:rsidP="007D12B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Профессионально-функциональные</w:t>
            </w: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Категория «обеспечивающие специалисты» старшей группы должностей. </w:t>
            </w: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замещения должности федеральной государственной гражданской службы категории «обеспечивающие специалисты» старшей группы должностей необходимо иметь </w:t>
            </w:r>
            <w:r w:rsidRPr="0036531C">
              <w:rPr>
                <w:rFonts w:ascii="Times New Roman" w:hAnsi="Times New Roman"/>
                <w:sz w:val="24"/>
                <w:szCs w:val="24"/>
              </w:rPr>
              <w:t>средне специальное образование по направлениям подготовки (специальностям) «Государственное и муниципальное управление», «Менеджмент», «Управление персоналом», «Экономика»,  или иное</w:t>
            </w:r>
            <w:r w:rsidRPr="0036531C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  <w:proofErr w:type="gramEnd"/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70B" w:rsidRPr="0036531C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0B" w:rsidRPr="0036531C" w:rsidRDefault="002F670B" w:rsidP="007D12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«обеспечивающие специалисты» старшей группы должностей, в соответствии со спецификой структурных подразделений Управления Федеральной службы государственной статистики по Краснодарскому краю и Республики Адыгея, размещены на официальном сайте </w:t>
            </w:r>
            <w:proofErr w:type="spellStart"/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Краснодарстата</w:t>
            </w:r>
            <w:proofErr w:type="spellEnd"/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(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http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://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krsdstat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gks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)</w:t>
              </w:r>
            </w:hyperlink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федеральной</w:t>
            </w:r>
            <w:proofErr w:type="gramEnd"/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hyperlink r:id="rId13" w:history="1"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gossluzhba</w:t>
              </w:r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</w:tr>
    </w:tbl>
    <w:p w:rsidR="002F670B" w:rsidRDefault="002F670B" w:rsidP="002F670B">
      <w:pPr>
        <w:sectPr w:rsidR="002F670B" w:rsidSect="00263C9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Pr="002A0B1C" w:rsidRDefault="00850147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- эксперт</w:t>
            </w:r>
          </w:p>
          <w:p w:rsidR="00770B61" w:rsidRPr="002A0B1C" w:rsidRDefault="00770B61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:rsidR="00770B61" w:rsidRPr="00FC1B82" w:rsidRDefault="00770B61" w:rsidP="00770B6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FC1B82">
              <w:rPr>
                <w:b/>
                <w:sz w:val="20"/>
                <w:szCs w:val="20"/>
              </w:rPr>
              <w:t xml:space="preserve"> 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bookmarkStart w:id="8" w:name="Par620"/>
            <w:bookmarkEnd w:id="8"/>
            <w:r w:rsidRPr="00FF5AC5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ведущего специалиста-эксперта отдела, должен обладать следующими профессиональными знаниями в сфере законодательства Российской Федерации:</w:t>
            </w:r>
          </w:p>
          <w:p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1) Кодекс Российской Федерации об административных правонарушениях от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5AC5">
              <w:rPr>
                <w:rFonts w:ascii="Times New Roman" w:hAnsi="Times New Roman"/>
                <w:sz w:val="24"/>
                <w:szCs w:val="24"/>
              </w:rPr>
              <w:t xml:space="preserve">30 декабря 2001 г. № 195-ФЗ (в части, касающейся установленной сферы деятельности); </w:t>
            </w:r>
          </w:p>
          <w:p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2) Федеральный закон от 27 июля 2006 г. № 149-ФЗ «Об информации, информационных технологиях и о защите информации»; </w:t>
            </w:r>
          </w:p>
          <w:p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3) 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4) Постановление Правительства Российской Федерации от 07 июня 2019 г. № 733 «Об общероссийских классификаторах технико-экономической и социальной информации»; </w:t>
            </w:r>
          </w:p>
          <w:p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5) Постановление Правительства Российской Федерации от 11 ноября 2006 г.                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6) Постановление Правительства Российской Федерации от 16 февраля 2008 г.           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7) Постановление Правительства Российской Федерации от 27 ноября 2010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5AC5">
              <w:rPr>
                <w:rFonts w:ascii="Times New Roman" w:hAnsi="Times New Roman"/>
                <w:sz w:val="24"/>
                <w:szCs w:val="24"/>
              </w:rPr>
              <w:t xml:space="preserve">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      </w:r>
            <w:proofErr w:type="spellStart"/>
            <w:r w:rsidRPr="00FF5AC5">
              <w:rPr>
                <w:rFonts w:ascii="Times New Roman" w:hAnsi="Times New Roman"/>
                <w:sz w:val="24"/>
                <w:szCs w:val="24"/>
              </w:rPr>
              <w:t>инвалидизации</w:t>
            </w:r>
            <w:proofErr w:type="spellEnd"/>
            <w:r w:rsidRPr="00FF5AC5">
              <w:rPr>
                <w:rFonts w:ascii="Times New Roman" w:hAnsi="Times New Roman"/>
                <w:sz w:val="24"/>
                <w:szCs w:val="24"/>
              </w:rPr>
              <w:t xml:space="preserve"> населения»;</w:t>
            </w:r>
          </w:p>
          <w:p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8) Постановление Правительства Российской Федерации от 2 июня 2008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5AC5">
              <w:rPr>
                <w:rFonts w:ascii="Times New Roman" w:hAnsi="Times New Roman"/>
                <w:sz w:val="24"/>
                <w:szCs w:val="24"/>
              </w:rPr>
              <w:t xml:space="preserve">№ 420 «О Федеральной службе государственной статистики»; </w:t>
            </w:r>
          </w:p>
          <w:p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9) Постановление Правительства Российской Федерации от 18 августа 2008 г.</w:t>
            </w:r>
            <w:r w:rsidRPr="00FF5AC5">
              <w:rPr>
                <w:rFonts w:ascii="Times New Roman" w:hAnsi="Times New Roman"/>
                <w:sz w:val="24"/>
                <w:szCs w:val="24"/>
              </w:rPr>
              <w:br/>
            </w:r>
            <w:r w:rsidRPr="00FF5AC5">
              <w:rPr>
                <w:rFonts w:ascii="Times New Roman" w:hAnsi="Times New Roman"/>
                <w:sz w:val="24"/>
                <w:szCs w:val="24"/>
              </w:rPr>
              <w:lastRenderedPageBreak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10) Постановление Правительства Российской Федерации от 26 мая 2010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5AC5">
              <w:rPr>
                <w:rFonts w:ascii="Times New Roman" w:hAnsi="Times New Roman"/>
                <w:sz w:val="24"/>
                <w:szCs w:val="24"/>
              </w:rPr>
              <w:t xml:space="preserve">№ 367 «О единой межведомственной информационно-статистической системе»; </w:t>
            </w:r>
          </w:p>
          <w:p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11) Постановление Правительства Российской Федерации от 15 апреля 2014 г.</w:t>
            </w:r>
            <w:r w:rsidRPr="00FF5AC5">
              <w:rPr>
                <w:rFonts w:ascii="Times New Roman" w:hAnsi="Times New Roman"/>
                <w:sz w:val="24"/>
                <w:szCs w:val="24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12) Распоряжение Правительства Российской Федерации от 6 мая 2008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5AC5">
              <w:rPr>
                <w:rFonts w:ascii="Times New Roman" w:hAnsi="Times New Roman"/>
                <w:sz w:val="24"/>
                <w:szCs w:val="24"/>
              </w:rPr>
              <w:t xml:space="preserve"> № 671-р «Об утверждении Федерального плана статистических работ» и иные нормативно-правовые акты.</w:t>
            </w:r>
          </w:p>
          <w:p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2.2.3. Иные профессиональные знания ведущего специалиста-эксперта отдела должны включать:  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1) основы общей теории статистики; 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3) основные методологические документы по статистике, в том числе международные;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 w:firstRow="1" w:lastRow="0" w:firstColumn="1" w:lastColumn="0" w:noHBand="0" w:noVBand="0"/>
            </w:tblPr>
            <w:tblGrid>
              <w:gridCol w:w="9556"/>
            </w:tblGrid>
            <w:tr w:rsidR="002F670B" w:rsidRPr="00FF5AC5" w:rsidTr="007D12B9">
              <w:tc>
                <w:tcPr>
                  <w:tcW w:w="9556" w:type="dxa"/>
                </w:tcPr>
                <w:p w:rsidR="002F670B" w:rsidRPr="00FF5AC5" w:rsidRDefault="002F670B" w:rsidP="002F670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6) понятие – выборка, объем выборки;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7) виды выборок и порядок их формирования;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8) основы теории сплошных и выборочных статистических наблюдений;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9) основные принципы официального статистического учета; 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11) понятие Статистического регистра хозяйствующих субъектов; 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13) методика осуществления контроля качества и согласованности результатов расчетов;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14) методология обработки статистической информации; 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17) основы системы национальных счетов;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18) основы понятийного аппарата макро- и микроэкономики;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19) основные подходы по формированию входных массивов статистических данных;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lastRenderedPageBreak/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21) основы государственного управления;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22) организация труда и делопроизводства;</w:t>
            </w:r>
          </w:p>
          <w:p w:rsidR="002F670B" w:rsidRPr="00FF5AC5" w:rsidRDefault="002F670B" w:rsidP="002F670B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23)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2F670B" w:rsidRPr="00FF5AC5" w:rsidRDefault="002F670B" w:rsidP="002F670B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2F670B" w:rsidRPr="00FF5AC5" w:rsidRDefault="002F670B" w:rsidP="002F670B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2F670B" w:rsidRPr="00FF5AC5" w:rsidRDefault="002F670B" w:rsidP="002F670B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26) общие вопросы в области обеспечения информационной безопасности;</w:t>
            </w:r>
          </w:p>
          <w:p w:rsidR="002F670B" w:rsidRPr="00FF5AC5" w:rsidRDefault="002F670B" w:rsidP="002F670B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27) порядок работы со служебной и секретной информацией;</w:t>
            </w:r>
          </w:p>
          <w:p w:rsidR="002F670B" w:rsidRPr="00FF5AC5" w:rsidRDefault="002F670B" w:rsidP="002F670B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28) правила охраны труда и противопожарной безопасности;</w:t>
            </w: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29) служебный распорядок Росстата.</w:t>
            </w:r>
          </w:p>
          <w:tbl>
            <w:tblPr>
              <w:tblpPr w:leftFromText="180" w:rightFromText="180" w:vertAnchor="text" w:tblpXSpec="right" w:tblpY="1"/>
              <w:tblOverlap w:val="never"/>
              <w:tblW w:w="9347" w:type="dxa"/>
              <w:tblLayout w:type="fixed"/>
              <w:tblLook w:val="00A0" w:firstRow="1" w:lastRow="0" w:firstColumn="1" w:lastColumn="0" w:noHBand="0" w:noVBand="0"/>
            </w:tblPr>
            <w:tblGrid>
              <w:gridCol w:w="9347"/>
            </w:tblGrid>
            <w:tr w:rsidR="002F670B" w:rsidRPr="00FF5AC5" w:rsidTr="007D12B9">
              <w:tc>
                <w:tcPr>
                  <w:tcW w:w="9347" w:type="dxa"/>
                </w:tcPr>
                <w:p w:rsidR="002F670B" w:rsidRPr="00FF5AC5" w:rsidRDefault="002F670B" w:rsidP="002F670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2.2.4. Гражданский служащий, замещающий должность ведущего специалиста-эксперта отдела, должен обладать следующими профессиональными умениями: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2F670B" w:rsidRPr="00FF5AC5" w:rsidTr="007D12B9">
              <w:tc>
                <w:tcPr>
                  <w:tcW w:w="9571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1) применение статистических пакетов прикладных программ;</w:t>
                  </w:r>
                </w:p>
              </w:tc>
            </w:tr>
            <w:tr w:rsidR="002F670B" w:rsidRPr="00FF5AC5" w:rsidTr="007D12B9">
              <w:tc>
                <w:tcPr>
                  <w:tcW w:w="9571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      </w:r>
                </w:p>
              </w:tc>
            </w:tr>
            <w:tr w:rsidR="002F670B" w:rsidRPr="00FF5AC5" w:rsidTr="007D12B9">
              <w:tc>
                <w:tcPr>
                  <w:tcW w:w="9571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2F670B" w:rsidRPr="00FF5AC5" w:rsidTr="007D12B9">
              <w:tc>
                <w:tcPr>
                  <w:tcW w:w="9571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4) работа с различными источниками статистической информации;</w:t>
                  </w:r>
                </w:p>
              </w:tc>
            </w:tr>
            <w:tr w:rsidR="002F670B" w:rsidRPr="00FF5AC5" w:rsidTr="007D12B9">
              <w:tc>
                <w:tcPr>
                  <w:tcW w:w="9571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5) оперативное принятие и реализация управленческих решений;</w:t>
                  </w:r>
                </w:p>
              </w:tc>
            </w:tr>
            <w:tr w:rsidR="002F670B" w:rsidRPr="00FF5AC5" w:rsidTr="007D12B9">
              <w:tc>
                <w:tcPr>
                  <w:tcW w:w="9571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6) ведение деловых переговоров;</w:t>
                  </w:r>
                </w:p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7)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8) 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9) делегирование полномочий;</w:t>
                  </w:r>
                </w:p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 xml:space="preserve">10) стратегическое планирование и управление групповой деятельностью с учетом возможностей и особенностей </w:t>
                  </w:r>
                  <w:proofErr w:type="gramStart"/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применения</w:t>
                  </w:r>
                  <w:proofErr w:type="gramEnd"/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современных информационно-коммуникационных технологий в государственных органах;</w:t>
                  </w:r>
                </w:p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11) 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:rsidR="002F670B" w:rsidRPr="00FF5AC5" w:rsidRDefault="002F670B" w:rsidP="002F670B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2.2.5. Гражданский служащий, замещающий должность ведущего специалиста-эксперта 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3"/>
            </w:tblGrid>
            <w:tr w:rsidR="002F670B" w:rsidRPr="00FF5AC5" w:rsidTr="007D12B9">
              <w:tc>
                <w:tcPr>
                  <w:tcW w:w="9573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1) понятие – нормы права, нормативного правового акта, правоотношений и их признаки;</w:t>
                  </w:r>
                </w:p>
              </w:tc>
            </w:tr>
            <w:tr w:rsidR="002F670B" w:rsidRPr="00FF5AC5" w:rsidTr="007D12B9">
              <w:tc>
                <w:tcPr>
                  <w:tcW w:w="9573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2) понятие – форма федерального статистического наблюдения;</w:t>
                  </w:r>
                </w:p>
              </w:tc>
            </w:tr>
            <w:tr w:rsidR="002F670B" w:rsidRPr="00FF5AC5" w:rsidTr="007D12B9">
              <w:tc>
                <w:tcPr>
                  <w:tcW w:w="9573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3) 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2F670B" w:rsidRPr="00FF5AC5" w:rsidTr="007D12B9">
              <w:tc>
                <w:tcPr>
                  <w:tcW w:w="9573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4) порядок (принципы) формирования итогов федеральных статистических наблюдений;</w:t>
                  </w:r>
                </w:p>
              </w:tc>
            </w:tr>
            <w:tr w:rsidR="002F670B" w:rsidRPr="00FF5AC5" w:rsidTr="007D12B9">
              <w:tc>
                <w:tcPr>
                  <w:tcW w:w="9573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5) порядок обеспечения сохранности и конфиденциальности первичных статистических данных;</w:t>
                  </w:r>
                </w:p>
              </w:tc>
            </w:tr>
            <w:tr w:rsidR="002F670B" w:rsidRPr="00FF5AC5" w:rsidTr="007D12B9">
              <w:tc>
                <w:tcPr>
                  <w:tcW w:w="9573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6) порядок производства по делам об административных правонарушениях;</w:t>
                  </w:r>
                </w:p>
              </w:tc>
            </w:tr>
            <w:tr w:rsidR="002F670B" w:rsidRPr="00FF5AC5" w:rsidTr="007D12B9">
              <w:tc>
                <w:tcPr>
                  <w:tcW w:w="9573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7) организация контроля исполнения поручений.</w:t>
                  </w:r>
                </w:p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2.2.6. Гражданский служащий, замещающий должность ведущего специалиста-эксперта отдела,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0"/>
            </w:tblGrid>
            <w:tr w:rsidR="002F670B" w:rsidRPr="00FF5AC5" w:rsidTr="007D12B9">
              <w:tc>
                <w:tcPr>
                  <w:tcW w:w="9570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1) разработка проектов приказов и других документов;</w:t>
                  </w:r>
                </w:p>
              </w:tc>
            </w:tr>
            <w:tr w:rsidR="002F670B" w:rsidRPr="00FF5AC5" w:rsidTr="007D12B9">
              <w:tc>
                <w:tcPr>
                  <w:tcW w:w="9570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2) публичные выступления;</w:t>
                  </w:r>
                </w:p>
              </w:tc>
            </w:tr>
            <w:tr w:rsidR="002F670B" w:rsidRPr="00FF5AC5" w:rsidTr="007D12B9">
              <w:tc>
                <w:tcPr>
                  <w:tcW w:w="9570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3) владение конструктивной критикой;</w:t>
                  </w:r>
                </w:p>
              </w:tc>
            </w:tr>
            <w:tr w:rsidR="002F670B" w:rsidRPr="00FF5AC5" w:rsidTr="007D12B9">
              <w:trPr>
                <w:trHeight w:val="595"/>
              </w:trPr>
              <w:tc>
                <w:tcPr>
                  <w:tcW w:w="9570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4) 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2F670B" w:rsidRPr="00FF5AC5" w:rsidTr="007D12B9">
              <w:tc>
                <w:tcPr>
                  <w:tcW w:w="9570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5)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2F670B" w:rsidRPr="00FF5AC5" w:rsidTr="007D12B9">
              <w:tc>
                <w:tcPr>
                  <w:tcW w:w="9570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6) работа с базами данных;</w:t>
                  </w:r>
                </w:p>
              </w:tc>
            </w:tr>
            <w:tr w:rsidR="002F670B" w:rsidRPr="00FF5AC5" w:rsidTr="007D12B9">
              <w:tc>
                <w:tcPr>
                  <w:tcW w:w="9570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 xml:space="preserve">7) обеспечение сохранности массивов статистических отчетных документов в </w:t>
                  </w: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соответствии с требованием конфиденциальности первичных статистических данных;</w:t>
                  </w:r>
                </w:p>
              </w:tc>
            </w:tr>
            <w:tr w:rsidR="002F670B" w:rsidRPr="00FF5AC5" w:rsidTr="007D12B9">
              <w:tc>
                <w:tcPr>
                  <w:tcW w:w="9570" w:type="dxa"/>
                </w:tcPr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8) умение контролировать качество и согласованность полученных результатов;</w:t>
                  </w:r>
                </w:p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9) подготовка аналитических, информационных и других материалов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70B61" w:rsidRPr="007E6429" w:rsidRDefault="00770B61" w:rsidP="002F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для участия в конкурсе на замещение </w:t>
      </w:r>
      <w:proofErr w:type="gramStart"/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вакантных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объективку</w:t>
            </w:r>
            <w:proofErr w:type="spellEnd"/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4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претендентов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35" w:rsidRDefault="00443535" w:rsidP="00201071">
      <w:pPr>
        <w:spacing w:after="0" w:line="240" w:lineRule="auto"/>
      </w:pPr>
      <w:r>
        <w:separator/>
      </w:r>
    </w:p>
  </w:endnote>
  <w:endnote w:type="continuationSeparator" w:id="0">
    <w:p w:rsidR="00443535" w:rsidRDefault="00443535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35" w:rsidRDefault="00443535" w:rsidP="00201071">
      <w:pPr>
        <w:spacing w:after="0" w:line="240" w:lineRule="auto"/>
      </w:pPr>
      <w:r>
        <w:separator/>
      </w:r>
    </w:p>
  </w:footnote>
  <w:footnote w:type="continuationSeparator" w:id="0">
    <w:p w:rsidR="00443535" w:rsidRDefault="00443535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43D"/>
    <w:multiLevelType w:val="hybridMultilevel"/>
    <w:tmpl w:val="AB009454"/>
    <w:lvl w:ilvl="0" w:tplc="39CA60D4">
      <w:start w:val="1"/>
      <w:numFmt w:val="decimal"/>
      <w:lvlText w:val="%1)"/>
      <w:lvlJc w:val="left"/>
      <w:pPr>
        <w:tabs>
          <w:tab w:val="num" w:pos="-796"/>
        </w:tabs>
        <w:ind w:left="644" w:hanging="360"/>
      </w:pPr>
      <w:rPr>
        <w:rFonts w:ascii="Times New Roman" w:eastAsia="@NSimSun" w:hAnsi="Times New Roman" w:cs="Times New Roman" w:hint="default"/>
        <w:sz w:val="24"/>
        <w:szCs w:val="24"/>
      </w:rPr>
    </w:lvl>
    <w:lvl w:ilvl="1" w:tplc="7B54CDB8">
      <w:start w:val="1"/>
      <w:numFmt w:val="decimal"/>
      <w:lvlText w:val="%2.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6C23A6"/>
    <w:multiLevelType w:val="hybridMultilevel"/>
    <w:tmpl w:val="1C4C1996"/>
    <w:lvl w:ilvl="0" w:tplc="317849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CE03B22"/>
    <w:multiLevelType w:val="hybridMultilevel"/>
    <w:tmpl w:val="B52CF20C"/>
    <w:lvl w:ilvl="0" w:tplc="588A3274">
      <w:start w:val="1"/>
      <w:numFmt w:val="decimal"/>
      <w:lvlText w:val="%1)"/>
      <w:lvlJc w:val="left"/>
      <w:pPr>
        <w:ind w:left="720" w:hanging="360"/>
      </w:pPr>
      <w:rPr>
        <w:rFonts w:ascii="Times New Roman" w:eastAsia="@NSimSu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A32EBF"/>
    <w:multiLevelType w:val="hybridMultilevel"/>
    <w:tmpl w:val="3B745E5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D0E9A"/>
    <w:rsid w:val="000E2E6D"/>
    <w:rsid w:val="000F77A3"/>
    <w:rsid w:val="00134AD0"/>
    <w:rsid w:val="00154985"/>
    <w:rsid w:val="00165507"/>
    <w:rsid w:val="00182223"/>
    <w:rsid w:val="001C02C7"/>
    <w:rsid w:val="001E7427"/>
    <w:rsid w:val="00201071"/>
    <w:rsid w:val="00230FEC"/>
    <w:rsid w:val="00263C9B"/>
    <w:rsid w:val="002650F8"/>
    <w:rsid w:val="00280BAC"/>
    <w:rsid w:val="0028152D"/>
    <w:rsid w:val="00283F1C"/>
    <w:rsid w:val="00297912"/>
    <w:rsid w:val="002A0B1C"/>
    <w:rsid w:val="002D042B"/>
    <w:rsid w:val="002F1D2A"/>
    <w:rsid w:val="002F670B"/>
    <w:rsid w:val="0032093D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68FD"/>
    <w:rsid w:val="003F7267"/>
    <w:rsid w:val="00400ADC"/>
    <w:rsid w:val="00401405"/>
    <w:rsid w:val="00412371"/>
    <w:rsid w:val="0043364C"/>
    <w:rsid w:val="00443535"/>
    <w:rsid w:val="00462257"/>
    <w:rsid w:val="004721CA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5F5C7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7F4A"/>
    <w:rsid w:val="006E76B0"/>
    <w:rsid w:val="006F7D7F"/>
    <w:rsid w:val="00706249"/>
    <w:rsid w:val="00761185"/>
    <w:rsid w:val="00770B61"/>
    <w:rsid w:val="00777488"/>
    <w:rsid w:val="007A7FC9"/>
    <w:rsid w:val="007B29B6"/>
    <w:rsid w:val="007E6429"/>
    <w:rsid w:val="00803A25"/>
    <w:rsid w:val="008117B5"/>
    <w:rsid w:val="00834BD3"/>
    <w:rsid w:val="00836985"/>
    <w:rsid w:val="00850147"/>
    <w:rsid w:val="0085080C"/>
    <w:rsid w:val="00852609"/>
    <w:rsid w:val="00883A16"/>
    <w:rsid w:val="008856ED"/>
    <w:rsid w:val="00890CF2"/>
    <w:rsid w:val="008A3321"/>
    <w:rsid w:val="008A3428"/>
    <w:rsid w:val="008A5DB4"/>
    <w:rsid w:val="008C3DA8"/>
    <w:rsid w:val="008D2897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E4D1A"/>
    <w:rsid w:val="00AE7AA5"/>
    <w:rsid w:val="00B03C6B"/>
    <w:rsid w:val="00B81884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C343B"/>
    <w:rsid w:val="00CE3D34"/>
    <w:rsid w:val="00D32B51"/>
    <w:rsid w:val="00D354B5"/>
    <w:rsid w:val="00D52846"/>
    <w:rsid w:val="00D52A41"/>
    <w:rsid w:val="00D6264B"/>
    <w:rsid w:val="00D63311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23C7"/>
    <w:rsid w:val="00E03AF2"/>
    <w:rsid w:val="00E03FB6"/>
    <w:rsid w:val="00E0622C"/>
    <w:rsid w:val="00E25DC7"/>
    <w:rsid w:val="00E41361"/>
    <w:rsid w:val="00E4684B"/>
    <w:rsid w:val="00E71877"/>
    <w:rsid w:val="00E73977"/>
    <w:rsid w:val="00E750C6"/>
    <w:rsid w:val="00EA2325"/>
    <w:rsid w:val="00EA789D"/>
    <w:rsid w:val="00EB3804"/>
    <w:rsid w:val="00EC7D98"/>
    <w:rsid w:val="00ED4B0F"/>
    <w:rsid w:val="00EF3A49"/>
    <w:rsid w:val="00F115BE"/>
    <w:rsid w:val="00F36F7C"/>
    <w:rsid w:val="00F527A6"/>
    <w:rsid w:val="00F70A85"/>
    <w:rsid w:val="00F71236"/>
    <w:rsid w:val="00F74F2E"/>
    <w:rsid w:val="00F93991"/>
    <w:rsid w:val="00F96E18"/>
    <w:rsid w:val="00F97A05"/>
    <w:rsid w:val="00FA001E"/>
    <w:rsid w:val="00FC1130"/>
    <w:rsid w:val="00FC1B82"/>
    <w:rsid w:val="00FD7231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E7397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739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E7397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739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sdstat.gks.ru/wps/wcm/connect/rosstat_ts/krsdstat/ru/about/government_job/tenders/5042f2004a09b8f38733cf6e1d97fe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hyperlink" Target="http://www.gks.ru/free_doc/new_site/rosstat/gos_sl/pril2-zvn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B9B5-2ED7-456E-B24B-B87263D9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23712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2</cp:revision>
  <cp:lastPrinted>2021-10-13T06:52:00Z</cp:lastPrinted>
  <dcterms:created xsi:type="dcterms:W3CDTF">2022-11-23T07:35:00Z</dcterms:created>
  <dcterms:modified xsi:type="dcterms:W3CDTF">2022-11-23T07:35:00Z</dcterms:modified>
</cp:coreProperties>
</file>